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72" w:rsidRPr="001566B3" w:rsidRDefault="00E86530">
      <w:pPr>
        <w:spacing w:after="0"/>
        <w:ind w:left="48"/>
        <w:rPr>
          <w:sz w:val="144"/>
          <w:szCs w:val="144"/>
        </w:rPr>
      </w:pPr>
      <w:r w:rsidRPr="001566B3">
        <w:rPr>
          <w:sz w:val="144"/>
          <w:szCs w:val="144"/>
          <w:lang w:val="hu"/>
        </w:rPr>
        <w:t>Felszólítás</w:t>
      </w:r>
    </w:p>
    <w:p w:rsidR="00C93572" w:rsidRDefault="00E86530">
      <w:pPr>
        <w:spacing w:after="9" w:line="216" w:lineRule="auto"/>
        <w:ind w:left="9" w:right="-15" w:firstLine="4"/>
        <w:jc w:val="both"/>
      </w:pPr>
      <w:r>
        <w:rPr>
          <w:sz w:val="28"/>
          <w:lang w:val="hu"/>
        </w:rPr>
        <w:t>A Nyugat-szlovákiai Hálózatüzemeltető Rt. (Západoslovenská distribučná, a. s., a továbbiakban „hálózatüzemeltető”) az energetikáról szóló 251/2012. sz. törvény 11. § (1) bek. b) pontja, valamint 11. § (3) bek. értelmében felszólítja az ingatlanok tulajdonosait, bérlőit és kezelőit, hogy legkésőbb 2020. január 7-ig végezzék el az ingatlanjaikon található elektromos elosztóhálózat berendezéseinek biztonságos és megbízható üzemeltetését veszélyeztető fák és egyéb növényzet gallyazását és eltávolítását.</w:t>
      </w:r>
      <w:r>
        <w:rPr>
          <w:noProof/>
        </w:rPr>
        <w:drawing>
          <wp:inline distT="0" distB="0" distL="0" distR="0">
            <wp:extent cx="42672" cy="42684"/>
            <wp:effectExtent l="0" t="0" r="0" b="0"/>
            <wp:docPr id="6054" name="Picture 6054"/>
            <wp:cNvGraphicFramePr/>
            <a:graphic xmlns:a="http://schemas.openxmlformats.org/drawingml/2006/main">
              <a:graphicData uri="http://schemas.openxmlformats.org/drawingml/2006/picture">
                <pic:pic xmlns:pic="http://schemas.openxmlformats.org/drawingml/2006/picture">
                  <pic:nvPicPr>
                    <pic:cNvPr id="6054" name="Picture 6054"/>
                    <pic:cNvPicPr/>
                  </pic:nvPicPr>
                  <pic:blipFill>
                    <a:blip r:embed="rId4"/>
                    <a:stretch>
                      <a:fillRect/>
                    </a:stretch>
                  </pic:blipFill>
                  <pic:spPr>
                    <a:xfrm>
                      <a:off x="0" y="0"/>
                      <a:ext cx="42672" cy="42684"/>
                    </a:xfrm>
                    <a:prstGeom prst="rect">
                      <a:avLst/>
                    </a:prstGeom>
                  </pic:spPr>
                </pic:pic>
              </a:graphicData>
            </a:graphic>
          </wp:inline>
        </w:drawing>
      </w:r>
    </w:p>
    <w:p w:rsidR="00C93572" w:rsidRDefault="00E86530">
      <w:pPr>
        <w:spacing w:after="0"/>
        <w:ind w:left="9408"/>
      </w:pPr>
      <w:r>
        <w:rPr>
          <w:noProof/>
        </w:rPr>
        <w:drawing>
          <wp:inline distT="0" distB="0" distL="0" distR="0">
            <wp:extent cx="94488" cy="73173"/>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5"/>
                    <a:stretch>
                      <a:fillRect/>
                    </a:stretch>
                  </pic:blipFill>
                  <pic:spPr>
                    <a:xfrm>
                      <a:off x="0" y="0"/>
                      <a:ext cx="94488" cy="73173"/>
                    </a:xfrm>
                    <a:prstGeom prst="rect">
                      <a:avLst/>
                    </a:prstGeom>
                  </pic:spPr>
                </pic:pic>
              </a:graphicData>
            </a:graphic>
          </wp:inline>
        </w:drawing>
      </w:r>
    </w:p>
    <w:p w:rsidR="00C93572" w:rsidRDefault="00E86530">
      <w:pPr>
        <w:spacing w:after="9" w:line="216" w:lineRule="auto"/>
        <w:ind w:left="9" w:right="254" w:firstLine="4"/>
        <w:jc w:val="both"/>
      </w:pPr>
      <w:r>
        <w:rPr>
          <w:sz w:val="28"/>
          <w:lang w:val="hu"/>
        </w:rPr>
        <w:t>Ha a fák vagy egyéb növényzet gallyazására vagy eltávolítására a megszabott határidőn belül nem kerül sor, azt a hálózatüzemeltető fogja elvégezni, és az energetikáról szóló 251/2012. sz. törvény 11. §-val összhangban ezzel a céllal belép az érintett ingatlanok területére.</w:t>
      </w:r>
    </w:p>
    <w:p w:rsidR="00C93572" w:rsidRDefault="00C93572">
      <w:pPr>
        <w:sectPr w:rsidR="00C93572">
          <w:pgSz w:w="11904" w:h="16834"/>
          <w:pgMar w:top="1085" w:right="864" w:bottom="328" w:left="600" w:header="708" w:footer="708" w:gutter="0"/>
          <w:cols w:space="708"/>
        </w:sectPr>
      </w:pPr>
    </w:p>
    <w:p w:rsidR="00C93572" w:rsidRDefault="00E86530" w:rsidP="003D332A">
      <w:pPr>
        <w:spacing w:after="243" w:line="247" w:lineRule="auto"/>
        <w:ind w:left="34" w:right="-258" w:firstLine="24"/>
        <w:jc w:val="both"/>
      </w:pPr>
      <w:r>
        <w:rPr>
          <w:lang w:val="hu"/>
        </w:rPr>
        <w:t xml:space="preserve">Ha az ingatlan tulajdonosa, bérlője vagy kezelője igényt tart a fák és egyéb növényzet gallyazására és eltávolítására fordított költségek visszatérítésére, legkésőbb 2019.11.30-ig köteles azt </w:t>
      </w:r>
      <w:r>
        <w:rPr>
          <w:noProof/>
        </w:rPr>
        <w:drawing>
          <wp:inline distT="0" distB="0" distL="0" distR="0">
            <wp:extent cx="3048" cy="3049"/>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6"/>
                    <a:stretch>
                      <a:fillRect/>
                    </a:stretch>
                  </pic:blipFill>
                  <pic:spPr>
                    <a:xfrm>
                      <a:off x="0" y="0"/>
                      <a:ext cx="3048" cy="3049"/>
                    </a:xfrm>
                    <a:prstGeom prst="rect">
                      <a:avLst/>
                    </a:prstGeom>
                  </pic:spPr>
                </pic:pic>
              </a:graphicData>
            </a:graphic>
          </wp:inline>
        </w:drawing>
      </w:r>
      <w:r>
        <w:rPr>
          <w:lang w:val="hu"/>
        </w:rPr>
        <w:t>a hálózatüzemeltetőnek bejelenteni, a fák és egyéb növényzet aktuális állapotát dokumentáló fotókkal alátámasztott javaslatot kell tennie a karbantartás mértékére és módjára, továbbá köteles feltüntetni a karbantartás várható költségeit.</w:t>
      </w:r>
      <w:r>
        <w:rPr>
          <w:noProof/>
        </w:rPr>
        <w:drawing>
          <wp:inline distT="0" distB="0" distL="0" distR="0">
            <wp:extent cx="3048" cy="3049"/>
            <wp:effectExtent l="0" t="0" r="0" b="0"/>
            <wp:docPr id="2962" name="Picture 2962"/>
            <wp:cNvGraphicFramePr/>
            <a:graphic xmlns:a="http://schemas.openxmlformats.org/drawingml/2006/main">
              <a:graphicData uri="http://schemas.openxmlformats.org/drawingml/2006/picture">
                <pic:pic xmlns:pic="http://schemas.openxmlformats.org/drawingml/2006/picture">
                  <pic:nvPicPr>
                    <pic:cNvPr id="2962" name="Picture 2962"/>
                    <pic:cNvPicPr/>
                  </pic:nvPicPr>
                  <pic:blipFill>
                    <a:blip r:embed="rId6"/>
                    <a:stretch>
                      <a:fillRect/>
                    </a:stretch>
                  </pic:blipFill>
                  <pic:spPr>
                    <a:xfrm>
                      <a:off x="0" y="0"/>
                      <a:ext cx="3048" cy="3049"/>
                    </a:xfrm>
                    <a:prstGeom prst="rect">
                      <a:avLst/>
                    </a:prstGeom>
                  </pic:spPr>
                </pic:pic>
              </a:graphicData>
            </a:graphic>
          </wp:inline>
        </w:drawing>
      </w:r>
    </w:p>
    <w:p w:rsidR="00C93572" w:rsidRDefault="00E86530" w:rsidP="003D332A">
      <w:pPr>
        <w:spacing w:after="263" w:line="253" w:lineRule="auto"/>
        <w:ind w:left="14" w:right="-259" w:hanging="10"/>
        <w:jc w:val="both"/>
      </w:pPr>
      <w:r>
        <w:rPr>
          <w:lang w:val="hu"/>
        </w:rPr>
        <w:t>Az elektromos elosztóhálózat berendezéseinek biztonságos és megbízható üzemeltetését veszélyeztető fák és egyéb növényzet eltávolításának részletes feltételeit, valamint az elektromos berendezések biztonsági övezetében érvényes korlátozásokat és kötelességeket az energetikáról szóló 251/2012. sz. törvény 11. § és 43. §, valamint a hálózatüzemeltető érvényes Üzemeltetési Szabályzatának 16.17 pontja részletezi. Az Üzemeltetési Szabályzat a hálózatüzemeltető honlapján, a www.zsdis.sk oldalon érhető el.</w:t>
      </w:r>
    </w:p>
    <w:p w:rsidR="00C93572" w:rsidRDefault="00E86530" w:rsidP="003D332A">
      <w:pPr>
        <w:spacing w:after="8" w:line="253" w:lineRule="auto"/>
        <w:ind w:left="14" w:right="25" w:hanging="10"/>
        <w:jc w:val="both"/>
      </w:pPr>
      <w:r>
        <w:rPr>
          <w:lang w:val="hu"/>
        </w:rPr>
        <w:t xml:space="preserve">A fák és egyéb növényzet eltávolítása és gallyazása során be kell tartani a környezetvédelemmel kapcsolatos jogszabályokat (főként a természet- és tájvédelemről szóló 543/2002. sz. törvényt és annak </w:t>
      </w:r>
      <w:r>
        <w:rPr>
          <w:lang w:val="hu"/>
        </w:rPr>
        <w:t>24/2003. sz. végrehajtási rendeletét), a hulladékgazdálkodással kapcsolatos jogszabályokat</w:t>
      </w:r>
    </w:p>
    <w:p w:rsidR="00C93572" w:rsidRDefault="00E86530">
      <w:pPr>
        <w:spacing w:after="312" w:line="251" w:lineRule="auto"/>
        <w:ind w:left="24" w:firstLine="48"/>
        <w:jc w:val="both"/>
      </w:pPr>
      <w:r>
        <w:rPr>
          <w:sz w:val="20"/>
          <w:lang w:val="hu"/>
        </w:rPr>
        <w:t>(főként a 79/2015. sz. hulladéktörvényt), valamint a vonatkozó műszaki szabványok és faápolási szabványok előírásait. Ha az elektromos elosztóhálózat berendezéseinek közelében található fák</w:t>
      </w:r>
      <w:bookmarkStart w:id="0" w:name="_GoBack"/>
      <w:bookmarkEnd w:id="0"/>
      <w:r>
        <w:rPr>
          <w:sz w:val="20"/>
          <w:lang w:val="hu"/>
        </w:rPr>
        <w:t xml:space="preserve"> és egyéb növényzet biztonságos eltávolítása és gallyazása érdekében szükség van az áramszolgáltatás szüneteltetésére, a tulajdonos legalább 25 naptári nappal a tervezett eltávolítás és gallyazás előtt köteles kérelmezni a hálózatüzemeltető elérhetőségein a vezeték áramtalanítását vagy más berendezés kikapcsolását, valamint a munkaterület áramtalanítását és ismételt áram alá helyezését. Az áramszünet pontos idejét a kérelmező és a hálózatüzemeltető közösen állapítják meg.</w:t>
      </w:r>
    </w:p>
    <w:p w:rsidR="00C93572" w:rsidRDefault="00E86530" w:rsidP="001566B3">
      <w:pPr>
        <w:spacing w:after="0" w:line="256" w:lineRule="auto"/>
        <w:ind w:right="312" w:firstLine="14"/>
      </w:pPr>
      <w:r>
        <w:rPr>
          <w:sz w:val="20"/>
          <w:lang w:val="hu"/>
        </w:rPr>
        <w:t>Az elektromos elosztóhálózat biztonságos és megbízható üzemeltetését veszélyeztető fák és egyéb növényzet időben és megfelelő módon elvégzett eltávolítása és gallyazása alapvetően befolyásolja az áramszolgáltatás minőségét és biztonságát az Ön áramvételezési helyén is. A Nyugat-Szlovákiai Energetikai Hálózatüzemeltető Társaság köszöni az együttműködést.</w:t>
      </w:r>
    </w:p>
    <w:p w:rsidR="00C93572" w:rsidRDefault="001566B3">
      <w:pPr>
        <w:spacing w:after="0"/>
        <w:ind w:left="1152"/>
      </w:pPr>
      <w:r>
        <w:rPr>
          <w:noProof/>
        </w:rPr>
        <w:drawing>
          <wp:inline distT="0" distB="0" distL="0" distR="0">
            <wp:extent cx="1883664" cy="829293"/>
            <wp:effectExtent l="0" t="0" r="2540" b="9525"/>
            <wp:docPr id="6058" name="Picture 6058"/>
            <wp:cNvGraphicFramePr/>
            <a:graphic xmlns:a="http://schemas.openxmlformats.org/drawingml/2006/main">
              <a:graphicData uri="http://schemas.openxmlformats.org/drawingml/2006/picture">
                <pic:pic xmlns:pic="http://schemas.openxmlformats.org/drawingml/2006/picture">
                  <pic:nvPicPr>
                    <pic:cNvPr id="6058" name="Picture 6058"/>
                    <pic:cNvPicPr/>
                  </pic:nvPicPr>
                  <pic:blipFill>
                    <a:blip r:embed="rId7"/>
                    <a:stretch>
                      <a:fillRect/>
                    </a:stretch>
                  </pic:blipFill>
                  <pic:spPr>
                    <a:xfrm>
                      <a:off x="0" y="0"/>
                      <a:ext cx="1883664" cy="829293"/>
                    </a:xfrm>
                    <a:prstGeom prst="rect">
                      <a:avLst/>
                    </a:prstGeom>
                  </pic:spPr>
                </pic:pic>
              </a:graphicData>
            </a:graphic>
          </wp:inline>
        </w:drawing>
      </w:r>
    </w:p>
    <w:p w:rsidR="00C93572" w:rsidRDefault="00C93572">
      <w:pPr>
        <w:sectPr w:rsidR="00C93572" w:rsidSect="001566B3">
          <w:type w:val="continuous"/>
          <w:pgSz w:w="11904" w:h="16834"/>
          <w:pgMar w:top="709" w:right="696" w:bottom="163" w:left="542" w:header="708" w:footer="708" w:gutter="0"/>
          <w:cols w:num="2" w:space="692"/>
        </w:sectPr>
      </w:pPr>
    </w:p>
    <w:p w:rsidR="00C93572" w:rsidRDefault="00E86530">
      <w:pPr>
        <w:spacing w:after="238"/>
        <w:ind w:left="5" w:right="-6974"/>
      </w:pPr>
      <w:r>
        <w:rPr>
          <w:noProof/>
        </w:rPr>
        <mc:AlternateContent>
          <mc:Choice Requires="wpg">
            <w:drawing>
              <wp:inline distT="0" distB="0" distL="0" distR="0">
                <wp:extent cx="6751320" cy="12195"/>
                <wp:effectExtent l="0" t="0" r="0" b="0"/>
                <wp:docPr id="6060" name="Group 6060"/>
                <wp:cNvGraphicFramePr/>
                <a:graphic xmlns:a="http://schemas.openxmlformats.org/drawingml/2006/main">
                  <a:graphicData uri="http://schemas.microsoft.com/office/word/2010/wordprocessingGroup">
                    <wpg:wgp>
                      <wpg:cNvGrpSpPr/>
                      <wpg:grpSpPr>
                        <a:xfrm>
                          <a:off x="0" y="0"/>
                          <a:ext cx="6751320" cy="12195"/>
                          <a:chOff x="0" y="0"/>
                          <a:chExt cx="6751320" cy="12195"/>
                        </a:xfrm>
                      </wpg:grpSpPr>
                      <wps:wsp>
                        <wps:cNvPr id="6059" name="Shape 6059"/>
                        <wps:cNvSpPr/>
                        <wps:spPr>
                          <a:xfrm>
                            <a:off x="0" y="0"/>
                            <a:ext cx="6751320" cy="12195"/>
                          </a:xfrm>
                          <a:custGeom>
                            <a:avLst/>
                            <a:gdLst/>
                            <a:ahLst/>
                            <a:cxnLst/>
                            <a:rect l="0" t="0" r="0" b="0"/>
                            <a:pathLst>
                              <a:path w="6751320" h="12195">
                                <a:moveTo>
                                  <a:pt x="0" y="6098"/>
                                </a:moveTo>
                                <a:lnTo>
                                  <a:pt x="675132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60" style="width:531.6pt;height:0.960266pt;mso-position-horizontal-relative:char;mso-position-vertical-relative:line" coordsize="67513,121">
                <v:shape id="Shape 6059" style="position:absolute;width:67513;height:121;left:0;top:0;" coordsize="6751320,12195" path="m0,6098l6751320,6098">
                  <v:stroke weight="0.960266pt" endcap="flat" joinstyle="miter" miterlimit="1" on="true" color="#000000"/>
                  <v:fill on="false" color="#000000"/>
                </v:shape>
              </v:group>
            </w:pict>
          </mc:Fallback>
        </mc:AlternateContent>
      </w:r>
    </w:p>
    <w:p w:rsidR="00C93572" w:rsidRDefault="00E86530">
      <w:pPr>
        <w:spacing w:after="8" w:line="253" w:lineRule="auto"/>
        <w:ind w:left="14" w:hanging="10"/>
      </w:pPr>
      <w:r>
        <w:rPr>
          <w:lang w:val="hu"/>
        </w:rPr>
        <w:t>Správa energetických zariadení: Juh</w:t>
      </w:r>
    </w:p>
    <w:p w:rsidR="00C93572" w:rsidRDefault="00E86530">
      <w:pPr>
        <w:spacing w:after="19"/>
        <w:ind w:left="14"/>
      </w:pPr>
      <w:r>
        <w:rPr>
          <w:sz w:val="18"/>
          <w:lang w:val="hu"/>
        </w:rPr>
        <w:t>E-mail: odberatel@zsdis.sk</w:t>
      </w:r>
    </w:p>
    <w:p w:rsidR="001566B3" w:rsidRDefault="00E86530" w:rsidP="001566B3">
      <w:pPr>
        <w:spacing w:after="0" w:line="253" w:lineRule="auto"/>
        <w:ind w:left="14" w:right="643" w:hanging="10"/>
        <w:rPr>
          <w:lang w:val="hu"/>
        </w:rPr>
      </w:pPr>
      <w:r>
        <w:rPr>
          <w:lang w:val="hu"/>
        </w:rPr>
        <w:t>Telefonszám: 0850 333</w:t>
      </w:r>
      <w:r w:rsidR="001566B3">
        <w:rPr>
          <w:lang w:val="hu"/>
        </w:rPr>
        <w:t> </w:t>
      </w:r>
      <w:r>
        <w:rPr>
          <w:lang w:val="hu"/>
        </w:rPr>
        <w:t xml:space="preserve">999 </w:t>
      </w:r>
    </w:p>
    <w:p w:rsidR="00C93572" w:rsidRDefault="00E86530" w:rsidP="001566B3">
      <w:pPr>
        <w:spacing w:after="0" w:line="253" w:lineRule="auto"/>
        <w:ind w:left="14" w:right="643" w:hanging="10"/>
      </w:pPr>
      <w:r>
        <w:rPr>
          <w:lang w:val="hu"/>
        </w:rPr>
        <w:t>A felszólítás közzétételének napja: 2019.11.15. www.zsdis.sk</w:t>
      </w:r>
    </w:p>
    <w:p w:rsidR="00C93572" w:rsidRDefault="003B08E0" w:rsidP="001566B3">
      <w:pPr>
        <w:spacing w:after="0" w:line="253" w:lineRule="auto"/>
        <w:ind w:left="14" w:hanging="10"/>
      </w:pPr>
      <w:r>
        <w:rPr>
          <w:lang w:val="hu"/>
        </w:rPr>
        <w:t>MEGBÍZHATÓ HÁLÓZATÜZEMELTETÉS</w:t>
      </w:r>
    </w:p>
    <w:sectPr w:rsidR="00C93572">
      <w:type w:val="continuous"/>
      <w:pgSz w:w="11904" w:h="16834"/>
      <w:pgMar w:top="1085" w:right="7709" w:bottom="328" w:left="5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72"/>
    <w:rsid w:val="00054EFB"/>
    <w:rsid w:val="001566B3"/>
    <w:rsid w:val="003B08E0"/>
    <w:rsid w:val="003D332A"/>
    <w:rsid w:val="00C93572"/>
    <w:rsid w:val="00DB4933"/>
    <w:rsid w:val="00E865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5FF1"/>
  <w15:docId w15:val="{AFF1E8F2-BB59-425F-BA88-FFB8B922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cp:lastModifiedBy>spravca</cp:lastModifiedBy>
  <cp:revision>2</cp:revision>
  <dcterms:created xsi:type="dcterms:W3CDTF">2019-11-14T19:49:00Z</dcterms:created>
  <dcterms:modified xsi:type="dcterms:W3CDTF">2019-11-14T19:49:00Z</dcterms:modified>
</cp:coreProperties>
</file>